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97D8" w14:textId="77777777" w:rsidR="00224951" w:rsidRDefault="00224951" w:rsidP="00224951">
      <w:pPr>
        <w:ind w:left="144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емтихан бағдарламасы</w:t>
      </w:r>
    </w:p>
    <w:p w14:paraId="15E200CE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«Бизнес коммуникацияны инвестициялау моделі»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магистранттар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58F51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Дата репортаж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концепциясы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7DDE7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дата-репортаж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8F20F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репортаж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B0F21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02B1E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Репортер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31EB4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журналистикадағы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D9C28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C9049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Әдебиеттер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Edited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Jonathan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Liliana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Bounegru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Chambers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The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80DA0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2 2.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Centre. The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F6315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1 3. </w:t>
      </w:r>
      <w:proofErr w:type="spellStart"/>
      <w:r>
        <w:rPr>
          <w:rFonts w:ascii="Times New Roman" w:hAnsi="Times New Roman" w:cs="Times New Roman"/>
          <w:sz w:val="28"/>
          <w:szCs w:val="28"/>
        </w:rPr>
        <w:t>Mayer-Schonberger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V. </w:t>
      </w:r>
      <w:proofErr w:type="spellStart"/>
      <w:r>
        <w:rPr>
          <w:rFonts w:ascii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Cukier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K. (2013). Big Data: A Revolution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Transform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 Live, Work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Boston : </w:t>
      </w:r>
      <w:proofErr w:type="spellStart"/>
      <w:r>
        <w:rPr>
          <w:rFonts w:ascii="Times New Roman" w:hAnsi="Times New Roman" w:cs="Times New Roman"/>
          <w:sz w:val="28"/>
          <w:szCs w:val="28"/>
        </w:rPr>
        <w:t>Houghton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Mifflin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Harcourt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38D9B1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Mair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Damian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Radcliffe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Inside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Global Future. </w:t>
      </w:r>
      <w:proofErr w:type="spellStart"/>
      <w:r>
        <w:rPr>
          <w:rFonts w:ascii="Times New Roman" w:hAnsi="Times New Roman" w:cs="Times New Roman"/>
          <w:sz w:val="28"/>
          <w:szCs w:val="28"/>
        </w:rPr>
        <w:t>Abramis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2015. p. </w:t>
      </w:r>
    </w:p>
    <w:p w14:paraId="16045CEE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Mair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Keeble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Martin </w:t>
      </w:r>
      <w:proofErr w:type="spellStart"/>
      <w:r>
        <w:rPr>
          <w:rFonts w:ascii="Times New Roman" w:hAnsi="Times New Roman" w:cs="Times New Roman"/>
          <w:sz w:val="28"/>
          <w:szCs w:val="28"/>
        </w:rPr>
        <w:t>Moore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Abramis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Интернет-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6DD33A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https://public.tableau.com/en-us/gallery/?tab=viz-of-the-day&amp;type=viz-of-the-day 2. The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Visualization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Catalogue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D3DD2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The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994C1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1 4.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https://www.youtube.com/watch?v=jbkSRLYSojo&amp;feature=youtu.be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C866F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https://www.youtube.com/watch?list=PL964C97FCE910FD83&amp;time_continue=43&amp;v =g_B7TyKcFT8&amp;feature=</w:t>
      </w:r>
      <w:proofErr w:type="spellStart"/>
      <w:r>
        <w:rPr>
          <w:rFonts w:ascii="Times New Roman" w:hAnsi="Times New Roman" w:cs="Times New Roman"/>
          <w:sz w:val="28"/>
          <w:szCs w:val="28"/>
        </w:rPr>
        <w:t>emb_logo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E0D64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http://datajournalism.stanford.edu/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49097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http://archive.nytimes.com/www.nytimes.com/interactive/2012/08/05/sports/olympics/ the-100-meter-dash-one-race-every-medalist-ever.html </w:t>
      </w:r>
    </w:p>
    <w:p w14:paraId="725BD3D5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https://flowingdata.com/tag/audiolization/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A908F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https://raw.githubusercontent.com/ft-interactive/chart-doctor/master/visualvocabulary/poster.png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8934B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https://datavizcatalogue.com/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Қосымшалар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6779D0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OpenNews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Source </w:t>
      </w:r>
    </w:p>
    <w:p w14:paraId="73B90B08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DataDrivenJournalism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93662" w14:textId="77777777" w:rsidR="00224951" w:rsidRDefault="00224951" w:rsidP="00224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Q&amp;A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Edward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Tufte's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«Data-репортаж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трансформациясы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D80679" w14:textId="77777777" w:rsidR="00224951" w:rsidRDefault="00224951" w:rsidP="002249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форматы-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техникасымен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нұсқаулықтан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аласыз.әл</w:t>
      </w:r>
      <w:proofErr w:type="spellEnd"/>
      <w:r>
        <w:rPr>
          <w:rFonts w:ascii="Times New Roman" w:hAnsi="Times New Roman" w:cs="Times New Roman"/>
          <w:sz w:val="28"/>
          <w:szCs w:val="28"/>
        </w:rPr>
        <w:t>-Фараби, "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беру"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" сессия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өтіңіз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https://www.kaznu.kz/ru/21639/page/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-Фараби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ҚазҰУ-дың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платформасында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форматы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тақырыптарын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мерзімін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4A48C" w14:textId="77777777" w:rsidR="00C43287" w:rsidRDefault="00224951" w:rsidP="002249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МАҢЫЗДЫ: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бейнежазба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белсенділігіне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бағалауда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бейнежазбаға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себептермен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алмасаңыз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проректорға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куратор-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эдвайзерге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жіберіңіз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Билет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блоктағы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магистрант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терминологияны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анағұрлым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магистрант 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терминологияны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бағдарламада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машығына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магистранттар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терминологияны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бағдарламада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дағдыларына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танытуы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сұраққа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баптары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көрсетіле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негіздеу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егжей-тегжейлі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берілуге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кейс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ұсынылуы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талдануы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жазғанын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жауабыңыз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тексеріледі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13EC3C" w14:textId="77777777" w:rsidR="00C43287" w:rsidRDefault="00224951" w:rsidP="002249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түпнұсқалығының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75%.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дәйексөздер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актілерден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C6A1EF" w14:textId="77777777" w:rsidR="00C43287" w:rsidRDefault="00224951" w:rsidP="002249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Әріптік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эквиваленті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4,0 95-100 85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5AA55" w14:textId="77777777" w:rsidR="00C43287" w:rsidRDefault="00224951" w:rsidP="002249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Өте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- 3,67 90 -94 85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В+ 3,33 85 -89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AA710" w14:textId="77777777" w:rsidR="00C43287" w:rsidRDefault="00224951" w:rsidP="002249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3,0 80 -84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- 2,67 75 -79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С+ 2,33 70 -74 75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8 0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</w:p>
    <w:p w14:paraId="2F7D24A1" w14:textId="02544012" w:rsidR="00224951" w:rsidRDefault="00224951" w:rsidP="002249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Қанағаттанарлық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2,0 65 -69 75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8 0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- 1,67 60 -64 75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8 0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D+ 1,33 55-59 75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D- 1,0 50-54 75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0 0-49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Қанағаттанарлықсыз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13D69" w14:textId="3DDFF9F2" w:rsidR="00EB0670" w:rsidRPr="0012787F" w:rsidRDefault="00224951" w:rsidP="00224951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МАҢЫЗДЫ.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Аттестациялаудан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ұпайыңыз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бейнежазбаны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жойылуы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құндылық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тұтастық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жалғандыққа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шпаргалкаларды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гаджеттерді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кезеңдерінде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құрметсіздікпен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12787F">
        <w:rPr>
          <w:rFonts w:ascii="Times New Roman" w:hAnsi="Times New Roman" w:cs="Times New Roman"/>
          <w:sz w:val="28"/>
          <w:szCs w:val="28"/>
          <w:lang w:val="kk-KZ"/>
        </w:rPr>
        <w:t xml:space="preserve"> Сәттілік.</w:t>
      </w:r>
    </w:p>
    <w:sectPr w:rsidR="00EB0670" w:rsidRPr="0012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E"/>
    <w:rsid w:val="0012787F"/>
    <w:rsid w:val="00224951"/>
    <w:rsid w:val="008D0EDE"/>
    <w:rsid w:val="00C43287"/>
    <w:rsid w:val="00E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E675"/>
  <w15:chartTrackingRefBased/>
  <w15:docId w15:val="{62AD5951-0EED-4CA2-953C-2327C62E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w.githubusercontent.com/ft-interactive/chart-doctor/master/visualvocabulary/poste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owingdata.com/tag/audiolization/" TargetMode="External"/><Relationship Id="rId5" Type="http://schemas.openxmlformats.org/officeDocument/2006/relationships/hyperlink" Target="http://datajournalism.stanford.edu/" TargetMode="External"/><Relationship Id="rId4" Type="http://schemas.openxmlformats.org/officeDocument/2006/relationships/hyperlink" Target="https://www.youtube.com/watch?v=jbkSRLYSojo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2022-10-17T05:59:00Z</dcterms:created>
  <dcterms:modified xsi:type="dcterms:W3CDTF">2022-10-17T06:01:00Z</dcterms:modified>
</cp:coreProperties>
</file>